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center"/>
        <w:widowControl w:val="off"/>
        <w:spacing w:line="560" w:lineRule="exact"/>
        <w:ind w:firstLineChars="-200" w:hanging="880" w:left="880"/>
        <w:rPr>
          <w:sz w:val="44"/>
          <w:lang w:val="en-US" w:eastAsia="zh-CN"/>
          <w:szCs w:val="44"/>
          <w:rFonts w:ascii="方正小标宋_GBK" w:hAnsi="方正小标宋_GBK" w:eastAsia="方正小标宋_GBK" w:hint="eastAsia"/>
        </w:rPr>
      </w:pPr>
      <w:r>
        <w:rPr>
          <w:sz w:val="44"/>
          <w:lang w:val="en-US" w:eastAsia="zh-CN"/>
          <w:szCs w:val="44"/>
          <w:rFonts w:ascii="方正小标宋_GBK" w:hAnsi="方正小标宋_GBK" w:eastAsia="方正小标宋_GBK" w:hint="eastAsia"/>
        </w:rPr>
        <w:t xml:space="preserve">《关于进一步做好安徽省药品经营监督管理</w:t>
      </w:r>
      <w:r>
        <w:rPr>
          <w:sz w:val="44"/>
          <w:lang w:val="en-US" w:eastAsia="zh-CN"/>
          <w:szCs w:val="44"/>
          <w:rFonts w:ascii="方正小标宋_GBK" w:hAnsi="方正小标宋_GBK" w:eastAsia="方正小标宋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center"/>
        <w:widowControl w:val="off"/>
        <w:spacing w:line="560" w:lineRule="exact"/>
        <w:ind w:firstLineChars="-200" w:hanging="880" w:left="880"/>
        <w:rPr>
          <w:sz w:val="44"/>
          <w:lang w:val="en-US" w:eastAsia="zh-CN"/>
          <w:szCs w:val="44"/>
          <w:rFonts w:ascii="方正小标宋_GBK" w:hAnsi="方正小标宋_GBK" w:eastAsia="方正小标宋_GBK" w:hint="eastAsia"/>
        </w:rPr>
      </w:pPr>
      <w:r>
        <w:rPr>
          <w:sz w:val="44"/>
          <w:lang w:val="en-US" w:eastAsia="zh-CN"/>
          <w:szCs w:val="44"/>
          <w:rFonts w:ascii="方正小标宋_GBK" w:hAnsi="方正小标宋_GBK" w:eastAsia="方正小标宋_GBK" w:hint="eastAsia"/>
        </w:rPr>
        <w:t xml:space="preserve">有关工作的通告（征求意见稿）》起草说明</w:t>
      </w:r>
      <w:r>
        <w:rPr>
          <w:sz w:val="32"/>
          <w:lang w:val="en-US" w:eastAsia="zh-CN"/>
          <w:szCs w:val="32"/>
          <w:rFonts w:ascii="方正仿宋_GBK" w:hAnsi="方正仿宋_GBK" w:eastAsia="方正仿宋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rPr>
          <w:sz w:val="32"/>
          <w:lang w:val="en-US" w:eastAsia="zh-CN"/>
          <w:szCs w:val="32"/>
          <w:rFonts w:ascii="方正黑体_GBK" w:hAnsi="方正黑体_GBK" w:eastAsia="方正黑体_GBK" w:hint="eastAsia"/>
        </w:rPr>
      </w:pPr>
      <w:r>
        <w:rPr>
          <w:sz w:val="32"/>
          <w:lang w:val="en-US" w:eastAsia="zh-CN"/>
          <w:szCs w:val="32"/>
          <w:rFonts w:ascii="方正黑体_GBK" w:hAnsi="方正黑体_GBK" w:eastAsia="方正黑体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方正黑体_GBK" w:hAnsi="方正黑体_GBK" w:eastAsia="方正黑体_GBK" w:hint="eastAsia"/>
        </w:rPr>
      </w:pPr>
      <w:r>
        <w:rPr>
          <w:sz w:val="32"/>
          <w:lang w:val="en-US" w:eastAsia="zh-CN"/>
          <w:szCs w:val="32"/>
          <w:rFonts w:ascii="方正黑体_GBK" w:hAnsi="方正黑体_GBK" w:eastAsia="方正黑体_GBK" w:hint="eastAsia"/>
        </w:rPr>
        <w:t xml:space="preserve">一、起草背景</w:t>
      </w:r>
      <w:r>
        <w:rPr>
          <w:sz w:val="32"/>
          <w:lang w:val="en-US" w:eastAsia="zh-CN"/>
          <w:szCs w:val="32"/>
          <w:rFonts w:ascii="方正黑体_GBK" w:hAnsi="方正黑体_GBK" w:eastAsia="方正黑体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方正仿宋_GBK" w:hAnsi="方正仿宋_GBK" w:eastAsia="方正仿宋_GBK" w:hint="eastAsia"/>
        </w:rPr>
      </w:pPr>
      <w:r>
        <w:rPr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《药品经营和使用质量监督管理办法》（国家市场监督管理总局令第84号，以下简称《办法》）已于2024年1月1日正式实施。《办法》作为《中华人民共和国药品管理法》的配套规章之一，是药品经营企业从事药品经营质量管理活动的重要遵循，也是药品监管部门开展药品经营监管工作的重要依据。4月22日，国家药监局发布《进一步做好药品经营监督管理有关工作的公告》（2024年第48号，以下简称《公告》）。《公告》进一步细化了《办法》相关要求，为企业和监管部门贯彻落实《办法》提供了政策指引。对比2004年《药品经营许可证管理办法》和2007年《药品流通监督管理办法》，《办法》在经营许可、监督管理等方面进行了调整，明确了自营仓库、药品现代物流条件、跨区域设置仓库等监管新要求。</w:t>
      </w:r>
      <w:r>
        <w:rPr>
          <w:sz w:val="32"/>
          <w:lang w:val="en-US" w:eastAsia="zh-CN"/>
          <w:szCs w:val="32"/>
          <w:rFonts w:ascii="方正仿宋_GBK" w:hAnsi="方正仿宋_GBK" w:eastAsia="方正仿宋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60" w:lineRule="exact"/>
        <w:ind/>
        <w:rPr>
          <w:sz w:val="32"/>
          <w:lang w:val="en-US" w:eastAsia="zh-CN"/>
          <w:szCs w:val="32"/>
          <w:rFonts w:ascii="方正仿宋_GBK" w:hAnsi="方正仿宋_GBK" w:eastAsia="方正仿宋_GBK" w:hint="eastAsia"/>
        </w:rPr>
      </w:pPr>
      <w:r>
        <w:rPr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    为贯彻落实《办法》相关要求，在严格执行《办法》及《公告》相关规定的基础上，结合我省药品经营许可及监管实际，省药监局起草了《关于进一步做好安徽省药品经营监督管理有关工作的通告（征求意见稿）》（以下简称《通告》）。</w:t>
      </w:r>
      <w:r>
        <w:rPr>
          <w:sz w:val="32"/>
          <w:lang w:val="en-US" w:eastAsia="zh-CN"/>
          <w:szCs w:val="32"/>
          <w:rFonts w:ascii="方正仿宋_GBK" w:hAnsi="方正仿宋_GBK" w:eastAsia="方正仿宋_GBK" w:hint="eastAsia"/>
        </w:rPr>
      </w:r>
    </w:p>
    <w:p>
      <w:pPr>
        <w:pStyle w:val="UserStyle_0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方正黑体_GBK" w:hAnsi="方正黑体_GBK" w:eastAsia="方正黑体_GBK" w:hint="eastAsia"/>
        </w:rPr>
      </w:pPr>
      <w:r>
        <w:rPr>
          <w:sz w:val="32"/>
          <w:lang w:val="en-US" w:eastAsia="zh-CN"/>
          <w:szCs w:val="32"/>
          <w:rFonts w:ascii="方正黑体_GBK" w:hAnsi="方正黑体_GBK" w:eastAsia="方正黑体_GBK" w:hint="eastAsia"/>
        </w:rPr>
        <w:t xml:space="preserve">二、起草过程</w:t>
      </w:r>
      <w:r>
        <w:rPr>
          <w:sz w:val="32"/>
          <w:lang w:val="en-US" w:eastAsia="zh-CN"/>
          <w:szCs w:val="32"/>
          <w:rFonts w:ascii="方正黑体_GBK" w:hAnsi="方正黑体_GBK" w:eastAsia="方正黑体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 w:val="off"/>
        <w:spacing w:line="560" w:lineRule="exact"/>
        <w:ind w:left="0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     </w:t>
      </w:r>
      <w:r>
        <w:rPr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《办法》自2023年9月底公布以来，省局对《办法》有关药品经营许可部分内容进行了深入学习研究，于2023年12月形成《关于贯彻落实&lt;药品经营和使用质量监督管理办法&gt;药品批发企业经营许可有关事宜的通告（草稿）》。2024年1月，组织召开省内部分药品零售连锁总部、合肥市市场监管局有关负责人员召开座谈会，调研了解零售连锁总部落实《办法》过程中存在的问题及其他意见建议，并根据《办法》规定要求及座谈会意见建议，形成《关于进一步做好药品经营许可有关工作的通告（草稿）》。2024年5月，结合国家局《通告》要求，在前期《关于进一步做好药品经营许可有关工作的通告（草稿）》上，将药品经营监管有关要求纳入其中，形成《关于进一步做好安徽省药品经营监督管理有关工作的通告（讨论稿）》。5月13日，向省局相关处室、各分局、直属单位征求意见建议。5月16日，组织召开药品经营监督管理有关政策征求意见会，征求部分省内药品经营企业意见建议，最终形成《关于进一步做好安徽省药品经营监督管理有关工作的通告（征求意见稿）》。</w:t>
      </w:r>
      <w:r>
        <w:rPr>
          <w:sz w:val="32"/>
          <w:lang w:val="en-US" w:eastAsia="zh-CN"/>
          <w:szCs w:val="32"/>
          <w:rFonts w:ascii="方正仿宋_GBK" w:hAnsi="方正仿宋_GBK" w:eastAsia="方正仿宋_GBK"/>
        </w:rPr>
      </w:r>
    </w:p>
    <w:p>
      <w:pPr>
        <w:pStyle w:val="BodyText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widowControl w:val="off"/>
        <w:spacing w:line="560" w:lineRule="exact"/>
        <w:ind w:firstLine="320" w:firstLineChars="100" w:leftChars="200"/>
        <w:rPr>
          <w:sz w:val="32"/>
          <w:lang w:val="en-US" w:eastAsia="zh-CN"/>
          <w:szCs w:val="32"/>
          <w:rFonts w:ascii="方正黑体_GBK" w:hAnsi="方正黑体_GBK" w:eastAsia="方正黑体_GBK" w:hint="eastAsia"/>
        </w:rPr>
      </w:pPr>
      <w:r>
        <w:rPr>
          <w:sz w:val="32"/>
          <w:lang w:val="en-US" w:eastAsia="zh-CN"/>
          <w:szCs w:val="32"/>
          <w:rFonts w:ascii="方正黑体_GBK" w:hAnsi="方正黑体_GBK" w:eastAsia="方正黑体_GBK" w:hint="eastAsia"/>
        </w:rPr>
        <w:t xml:space="preserve">三、主要内容</w:t>
      </w:r>
      <w:r>
        <w:rPr>
          <w:sz w:val="32"/>
          <w:lang w:val="en-US" w:eastAsia="zh-CN"/>
          <w:szCs w:val="32"/>
          <w:rFonts w:ascii="方正黑体_GBK" w:hAnsi="方正黑体_GBK" w:eastAsia="方正黑体_GBK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widowControl w:val="off"/>
        <w:spacing w:line="560" w:lineRule="exact"/>
        <w:ind w:firstLine="640" w:firstLineChars="200"/>
        <w:rPr>
          <w:sz w:val="32"/>
          <w:lang w:val="en-US" w:eastAsia="zh-CN"/>
          <w:szCs w:val="32"/>
          <w:rFonts w:ascii="方正仿宋_GBK" w:hAnsi="方正仿宋_GBK" w:eastAsia="方正仿宋_GBK" w:hint="eastAsia"/>
        </w:rPr>
      </w:pPr>
      <w:r>
        <w:rPr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《通告》共十五条，主要从药品经营企业准入管理、药品经营许可证管理、药品仓储物流监督管理等方面，作出具体规定。</w:t>
      </w:r>
      <w:r>
        <w:rPr>
          <w:b w:val="1"/>
          <w:sz w:val="32"/>
          <w:lang w:val="en-US" w:eastAsia="zh-CN"/>
          <w:szCs w:val="32"/>
          <w:bCs/>
          <w:rFonts w:ascii="方正仿宋_GBK" w:hAnsi="方正仿宋_GBK" w:eastAsia="方正仿宋_GBK" w:hint="eastAsia"/>
        </w:rPr>
        <w:t xml:space="preserve">一是</w:t>
      </w:r>
      <w:r>
        <w:rPr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规范药品经营企业准入管理。《通告》第一至三条，明确了新开办药品批发（零售企业）的办理流程、开办条件等相关要求。同时对重新申请审查发证的药品批发企业提出了相关要求。</w:t>
      </w:r>
      <w:r>
        <w:rPr>
          <w:b w:val="1"/>
          <w:sz w:val="32"/>
          <w:lang w:val="en-US" w:eastAsia="zh-CN"/>
          <w:szCs w:val="32"/>
          <w:bCs/>
          <w:rFonts w:ascii="方正仿宋_GBK" w:hAnsi="方正仿宋_GBK" w:eastAsia="方正仿宋_GBK" w:hint="eastAsia"/>
        </w:rPr>
        <w:t xml:space="preserve">二是</w:t>
      </w:r>
      <w:r>
        <w:rPr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统筹药品经营许可证管理。《通告》第四至十条，分别对药品批发、零售企业药品经营许可证经营地址表述、经营范围标示、仓库地址核定等内容进行规定。对于我省存在共用电话区号的情形，明确了药品经营许可证编号规则。</w:t>
      </w:r>
      <w:r>
        <w:rPr>
          <w:b w:val="1"/>
          <w:sz w:val="32"/>
          <w:lang w:val="en-US" w:eastAsia="zh-CN"/>
          <w:szCs w:val="32"/>
          <w:bCs/>
          <w:rFonts w:ascii="方正仿宋_GBK" w:hAnsi="方正仿宋_GBK" w:eastAsia="方正仿宋_GBK" w:hint="eastAsia"/>
        </w:rPr>
        <w:t xml:space="preserve">三是</w:t>
      </w:r>
      <w:r>
        <w:rPr>
          <w:sz w:val="32"/>
          <w:lang w:val="en-US" w:eastAsia="zh-CN"/>
          <w:szCs w:val="32"/>
          <w:rFonts w:ascii="方正仿宋_GBK" w:hAnsi="方正仿宋_GBK" w:eastAsia="方正仿宋_GBK" w:hint="eastAsia"/>
        </w:rPr>
        <w:t xml:space="preserve">严格药品仓储物流监督管理。《通告》第十一至第十三条，要求积极适应药品经营新业态，秉持包容审慎的原则，对设置自助售药机的药品零售企业提出要求。同时明确了办理药品委托销售、储存、运输信息报告相关规定，进一步了夯实药品上市许可持有人、药品经营企业、药品零售连锁总部的管理责任。</w:t>
      </w:r>
      <w:r>
        <w:rPr>
          <w:sz w:val="32"/>
          <w:lang w:val="en-US" w:eastAsia="zh-CN"/>
          <w:szCs w:val="32"/>
          <w:rFonts w:ascii="方正仿宋_GBK" w:hAnsi="方正仿宋_GBK" w:eastAsia="方正仿宋_GBK" w:hint="eastAsia"/>
        </w:rPr>
      </w:r>
    </w:p>
    <w:sectPr>
      <w:type w:val="nextPage"/>
      <w:docGrid w:type="lines" w:linePitch="312" w:charSpace="0"/>
      <w:pgSz w:w="11906" w:h="16838"/>
      <w:pgMar w:top="1417" w:right="1531" w:bottom="1417" w:left="1531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13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off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paragraph" w:styleId="Heading1">
    <w:name w:val="标题 1"/>
    <w:basedOn w:val="Normal"/>
    <w:link w:val="Normal"/>
    <w:pPr>
      <w:jc w:val="start"/>
      <w:outlineLvl w:val="0"/>
      <w:spacing w:after="100" w:afterAutospacing="1" w:before="100" w:beforeAutospacing="1"/>
    </w:pPr>
    <w:rPr>
      <w:b w:val="1"/>
      <w:sz w:val="48"/>
      <w:lang w:val="en-US" w:eastAsia="zh-CN" w:bidi="ar"/>
      <w:szCs w:val="48"/>
      <w:kern w:val="44"/>
      <w:bCs/>
      <w:rFonts w:ascii="宋体" w:hAnsi="宋体" w:eastAsia="宋体" w:hint="eastAsia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NormalIndent">
    <w:name w:val="正文缩进"/>
    <w:basedOn w:val="Normal"/>
    <w:link w:val="Normal"/>
    <w:pPr>
      <w:ind w:firstLine="420" w:firstLineChars="200"/>
    </w:pPr>
  </w:style>
  <w:style w:type="paragraph" w:styleId="BodyText">
    <w:name w:val="正文文本"/>
    <w:basedOn w:val="Normal"/>
    <w:link w:val="Normal"/>
    <w:pPr>
      <w:autoSpaceDE w:val="0"/>
      <w:autoSpaceDN w:val="0"/>
      <w:jc w:val="start"/>
    </w:pPr>
    <w:rPr>
      <w:szCs w:val="32"/>
      <w:kern w:val="0"/>
      <w:rFonts w:ascii="仿宋" w:hAnsi="仿宋" w:eastAsia="仿宋"/>
    </w:rPr>
  </w:style>
  <w:style w:type="paragraph" w:styleId="UserStyle_0">
    <w:name w:val="样式1"/>
    <w:basedOn w:val="Normal"/>
    <w:link w:val="Normal"/>
    <w:pPr>
      <w:ind w:firstLine="602" w:firstLineChars="200"/>
    </w:pPr>
    <w:rPr>
      <w:sz w:val="30"/>
      <w:szCs w:val="30"/>
      <w:rFonts w:ascii="仿宋" w:hAnsi="仿宋" w:eastAsia="仿宋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